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DDA82" w14:textId="77777777" w:rsidR="00B63954" w:rsidRPr="00881961" w:rsidRDefault="00B07EEC" w:rsidP="00B63954">
      <w:pPr>
        <w:pStyle w:val="Heading1"/>
      </w:pPr>
      <w:r>
        <w:t>BSC Audit Approach 2024/25</w:t>
      </w:r>
    </w:p>
    <w:p w14:paraId="2A0484D2" w14:textId="77777777" w:rsidR="00B63954" w:rsidRPr="00881961" w:rsidRDefault="00B07EEC"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3F6B6438" w14:textId="77777777" w:rsidTr="004F575B">
        <w:trPr>
          <w:trHeight w:val="680"/>
          <w:jc w:val="center"/>
        </w:trPr>
        <w:tc>
          <w:tcPr>
            <w:tcW w:w="1701" w:type="dxa"/>
            <w:tcBorders>
              <w:top w:val="single" w:sz="4" w:space="0" w:color="231F20" w:themeColor="text2"/>
              <w:left w:val="nil"/>
              <w:right w:val="nil"/>
            </w:tcBorders>
          </w:tcPr>
          <w:p w14:paraId="0A682CBB"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988BD80" w14:textId="77777777" w:rsidR="00E92F8B" w:rsidRPr="00881961" w:rsidRDefault="00B07EEC" w:rsidP="00E92F8B">
            <w:pPr>
              <w:pStyle w:val="ElexonTableTextLarge"/>
              <w:rPr>
                <w:rStyle w:val="Strong"/>
              </w:rPr>
            </w:pPr>
            <w:r>
              <w:rPr>
                <w:rStyle w:val="Strong"/>
              </w:rPr>
              <w:t>30 May 2024</w:t>
            </w:r>
          </w:p>
        </w:tc>
        <w:tc>
          <w:tcPr>
            <w:tcW w:w="237" w:type="dxa"/>
            <w:tcBorders>
              <w:top w:val="nil"/>
              <w:left w:val="nil"/>
              <w:bottom w:val="nil"/>
            </w:tcBorders>
          </w:tcPr>
          <w:p w14:paraId="6DDAC0D9" w14:textId="77777777" w:rsidR="00E92F8B" w:rsidRPr="00881961" w:rsidRDefault="00E92F8B" w:rsidP="00E92F8B"/>
        </w:tc>
        <w:tc>
          <w:tcPr>
            <w:tcW w:w="1555" w:type="dxa"/>
            <w:tcBorders>
              <w:right w:val="nil"/>
            </w:tcBorders>
          </w:tcPr>
          <w:p w14:paraId="7C252D81" w14:textId="77777777" w:rsidR="00E92F8B" w:rsidRPr="00881961" w:rsidRDefault="00E92F8B" w:rsidP="00E92F8B">
            <w:pPr>
              <w:pStyle w:val="ElexonTableTextSmall"/>
            </w:pPr>
            <w:r w:rsidRPr="00881961">
              <w:t>Paper number</w:t>
            </w:r>
          </w:p>
        </w:tc>
        <w:tc>
          <w:tcPr>
            <w:tcW w:w="3600" w:type="dxa"/>
            <w:tcBorders>
              <w:right w:val="nil"/>
            </w:tcBorders>
          </w:tcPr>
          <w:p w14:paraId="394FA4A0" w14:textId="44E9E1FB" w:rsidR="00E92F8B" w:rsidRPr="00881961" w:rsidRDefault="00B07EEC" w:rsidP="00E92F8B">
            <w:pPr>
              <w:pStyle w:val="ElexonTableTextLarge"/>
              <w:rPr>
                <w:rStyle w:val="Strong"/>
              </w:rPr>
            </w:pPr>
            <w:r>
              <w:rPr>
                <w:rStyle w:val="Strong"/>
              </w:rPr>
              <w:t>PAB280/</w:t>
            </w:r>
            <w:r w:rsidR="00E16EAB">
              <w:rPr>
                <w:rStyle w:val="Strong"/>
              </w:rPr>
              <w:t>07</w:t>
            </w:r>
          </w:p>
        </w:tc>
      </w:tr>
      <w:tr w:rsidR="00E92F8B" w:rsidRPr="00881961" w14:paraId="6F0E57A4"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5F086DF"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772DA46" w14:textId="77777777" w:rsidR="00E92F8B" w:rsidRPr="00881961" w:rsidRDefault="00B07EEC" w:rsidP="00535B5A">
            <w:pPr>
              <w:pStyle w:val="ElexonTableTextLarge"/>
              <w:rPr>
                <w:rStyle w:val="Strong"/>
              </w:rPr>
            </w:pPr>
            <w:r>
              <w:rPr>
                <w:rStyle w:val="Strong"/>
              </w:rPr>
              <w:t>Sukh Berk</w:t>
            </w:r>
          </w:p>
        </w:tc>
        <w:tc>
          <w:tcPr>
            <w:tcW w:w="237" w:type="dxa"/>
            <w:tcBorders>
              <w:top w:val="nil"/>
              <w:left w:val="nil"/>
              <w:bottom w:val="nil"/>
            </w:tcBorders>
          </w:tcPr>
          <w:p w14:paraId="1C2C914A" w14:textId="77777777" w:rsidR="00E92F8B" w:rsidRPr="00881961" w:rsidRDefault="00E92F8B" w:rsidP="000117E1"/>
        </w:tc>
        <w:tc>
          <w:tcPr>
            <w:tcW w:w="1555" w:type="dxa"/>
            <w:tcBorders>
              <w:right w:val="nil"/>
            </w:tcBorders>
          </w:tcPr>
          <w:p w14:paraId="74CE7FE6" w14:textId="77777777" w:rsidR="00E92F8B" w:rsidRPr="00881961" w:rsidRDefault="00E92F8B" w:rsidP="00E92F8B">
            <w:pPr>
              <w:pStyle w:val="ElexonTableTextSmall"/>
            </w:pPr>
            <w:r w:rsidRPr="00881961">
              <w:t>Purpose of paper</w:t>
            </w:r>
          </w:p>
        </w:tc>
        <w:tc>
          <w:tcPr>
            <w:tcW w:w="3600" w:type="dxa"/>
            <w:tcBorders>
              <w:right w:val="nil"/>
            </w:tcBorders>
          </w:tcPr>
          <w:p w14:paraId="310D875A" w14:textId="77777777" w:rsidR="00E92F8B" w:rsidRPr="00881961" w:rsidRDefault="00B07EEC" w:rsidP="008345BA">
            <w:pPr>
              <w:pStyle w:val="ElexonTableTextLarge"/>
              <w:rPr>
                <w:rStyle w:val="Strong"/>
              </w:rPr>
            </w:pPr>
            <w:r>
              <w:rPr>
                <w:rStyle w:val="Strong"/>
              </w:rPr>
              <w:t>Decision</w:t>
            </w:r>
          </w:p>
        </w:tc>
      </w:tr>
      <w:tr w:rsidR="008375C3" w:rsidRPr="00881961" w14:paraId="223578F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4452784"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C09AD06" w14:textId="77777777" w:rsidR="008375C3" w:rsidRPr="00881961" w:rsidRDefault="007454B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B07EEC">
                  <w:rPr>
                    <w:rStyle w:val="Strong"/>
                  </w:rPr>
                  <w:t>Public</w:t>
                </w:r>
              </w:sdtContent>
            </w:sdt>
          </w:p>
        </w:tc>
        <w:tc>
          <w:tcPr>
            <w:tcW w:w="237" w:type="dxa"/>
            <w:tcBorders>
              <w:top w:val="nil"/>
              <w:left w:val="nil"/>
              <w:bottom w:val="nil"/>
            </w:tcBorders>
          </w:tcPr>
          <w:p w14:paraId="5A3F9040" w14:textId="77777777" w:rsidR="008375C3" w:rsidRPr="00881961" w:rsidRDefault="008375C3" w:rsidP="000117E1"/>
        </w:tc>
        <w:tc>
          <w:tcPr>
            <w:tcW w:w="1555" w:type="dxa"/>
            <w:tcBorders>
              <w:right w:val="nil"/>
            </w:tcBorders>
          </w:tcPr>
          <w:p w14:paraId="538DD59E" w14:textId="77777777" w:rsidR="008375C3" w:rsidRPr="00881961" w:rsidRDefault="008375C3" w:rsidP="00E92F8B">
            <w:pPr>
              <w:pStyle w:val="ElexonTableTextSmall"/>
            </w:pPr>
            <w:r w:rsidRPr="00881961">
              <w:t>Document version</w:t>
            </w:r>
          </w:p>
        </w:tc>
        <w:tc>
          <w:tcPr>
            <w:tcW w:w="3600" w:type="dxa"/>
            <w:tcBorders>
              <w:right w:val="nil"/>
            </w:tcBorders>
          </w:tcPr>
          <w:p w14:paraId="0348FD99" w14:textId="77777777" w:rsidR="008375C3" w:rsidRPr="00881961" w:rsidRDefault="00B07EEC" w:rsidP="008345BA">
            <w:pPr>
              <w:pStyle w:val="ElexonTableTextLarge"/>
              <w:rPr>
                <w:rStyle w:val="Strong"/>
              </w:rPr>
            </w:pPr>
            <w:r>
              <w:rPr>
                <w:rStyle w:val="Strong"/>
              </w:rPr>
              <w:t>1.0</w:t>
            </w:r>
          </w:p>
        </w:tc>
      </w:tr>
    </w:tbl>
    <w:p w14:paraId="786ED09B"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1273A40" w14:textId="77777777" w:rsidTr="00694395">
        <w:trPr>
          <w:trHeight w:val="340"/>
          <w:jc w:val="center"/>
        </w:trPr>
        <w:tc>
          <w:tcPr>
            <w:tcW w:w="1701" w:type="dxa"/>
            <w:tcBorders>
              <w:left w:val="nil"/>
              <w:right w:val="nil"/>
            </w:tcBorders>
            <w:vAlign w:val="top"/>
          </w:tcPr>
          <w:p w14:paraId="4E45CD95"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66ECAFF5" w14:textId="77777777" w:rsidR="009F28C7" w:rsidRPr="00881961" w:rsidRDefault="00B07EEC" w:rsidP="00B07EEC">
            <w:pPr>
              <w:pStyle w:val="ElexonTableTextLarge"/>
              <w:rPr>
                <w:rStyle w:val="Strong"/>
              </w:rPr>
            </w:pPr>
            <w:r w:rsidRPr="00B07EEC">
              <w:rPr>
                <w:rStyle w:val="Strong"/>
              </w:rPr>
              <w:t xml:space="preserve">The PAB is invited to approve the BSC Audit </w:t>
            </w:r>
            <w:r>
              <w:rPr>
                <w:rStyle w:val="Strong"/>
              </w:rPr>
              <w:t xml:space="preserve">Approach </w:t>
            </w:r>
            <w:r w:rsidRPr="00B07EEC">
              <w:rPr>
                <w:rStyle w:val="Strong"/>
              </w:rPr>
              <w:t>for the Performance Assurance Operating Period (PAOP) 2024/2025.</w:t>
            </w:r>
          </w:p>
        </w:tc>
      </w:tr>
    </w:tbl>
    <w:p w14:paraId="78F26078" w14:textId="77777777" w:rsidR="00710074" w:rsidRPr="00881961" w:rsidRDefault="00B07EEC" w:rsidP="00D4187D">
      <w:pPr>
        <w:pStyle w:val="List"/>
      </w:pPr>
      <w:bookmarkStart w:id="0" w:name="_Hlk39571051"/>
      <w:r>
        <w:t>Overview</w:t>
      </w:r>
    </w:p>
    <w:p w14:paraId="056BD6C8" w14:textId="77777777" w:rsidR="005020B1" w:rsidRDefault="005020B1" w:rsidP="005020B1">
      <w:pPr>
        <w:pStyle w:val="List2"/>
      </w:pPr>
      <w:r>
        <w:t>The BSC Audit will be conducted by KPMG in their capacity as the BSC Auditor, comprising two distinct streams:</w:t>
      </w:r>
    </w:p>
    <w:p w14:paraId="151B5B73" w14:textId="02E75541" w:rsidR="005020B1" w:rsidRDefault="005020B1" w:rsidP="005020B1">
      <w:pPr>
        <w:pStyle w:val="List2"/>
      </w:pPr>
      <w:r>
        <w:t>Process Assessment (</w:t>
      </w:r>
      <w:r w:rsidR="00540074">
        <w:t>Attachment A</w:t>
      </w:r>
      <w:r>
        <w:t>):</w:t>
      </w:r>
    </w:p>
    <w:p w14:paraId="5590055F" w14:textId="783860CA" w:rsidR="005020B1" w:rsidRDefault="005020B1" w:rsidP="007454B0">
      <w:pPr>
        <w:pStyle w:val="ListBullet"/>
      </w:pPr>
      <w:r>
        <w:t>The scope of the Process Assessment includes Suppliers, SVA Agents and CVA Registrants</w:t>
      </w:r>
      <w:r w:rsidR="00E16EAB">
        <w:t>.</w:t>
      </w:r>
      <w:r>
        <w:t xml:space="preserve"> </w:t>
      </w:r>
      <w:r w:rsidR="00E16EAB">
        <w:t xml:space="preserve">It </w:t>
      </w:r>
      <w:r>
        <w:t>form</w:t>
      </w:r>
      <w:r w:rsidR="00E16EAB">
        <w:t>s</w:t>
      </w:r>
      <w:r>
        <w:t xml:space="preserve"> part of Elexon’s Performance Assurance Framework (PAF). Elexon retains responsibility for defining the scope of the detailed BSC Audit work and for the conclusions reached. Testing at market participants will be performed similarly to previous years. Elexon will compile a report summarizing the key findings, which will be presented to the PAB and the Panel.</w:t>
      </w:r>
    </w:p>
    <w:p w14:paraId="112AE901" w14:textId="0950DC6A" w:rsidR="005020B1" w:rsidRDefault="005020B1" w:rsidP="005020B1">
      <w:pPr>
        <w:pStyle w:val="List2"/>
      </w:pPr>
      <w:r>
        <w:t>ISAE (UK) 3000 Opinion (</w:t>
      </w:r>
      <w:r w:rsidR="00540074">
        <w:t>Attachment B</w:t>
      </w:r>
      <w:r>
        <w:t>):</w:t>
      </w:r>
    </w:p>
    <w:p w14:paraId="36397686" w14:textId="75EF718F" w:rsidR="005020B1" w:rsidRDefault="005020B1" w:rsidP="007454B0">
      <w:pPr>
        <w:pStyle w:val="ListBullet"/>
      </w:pPr>
      <w:r>
        <w:t xml:space="preserve">Central Systems and Central Volume Allocation </w:t>
      </w:r>
      <w:r w:rsidR="00E16EAB">
        <w:t xml:space="preserve">(CVA) </w:t>
      </w:r>
      <w:r>
        <w:t>Meter Operator Agent</w:t>
      </w:r>
      <w:r w:rsidR="00E16EAB">
        <w:t>s</w:t>
      </w:r>
      <w:r>
        <w:t xml:space="preserve"> (MOA</w:t>
      </w:r>
      <w:r w:rsidR="00E16EAB">
        <w:t>s</w:t>
      </w:r>
      <w:r>
        <w:t>) fall within the scope of an ISAE (UK) 3000 Assurance Conclusion</w:t>
      </w:r>
      <w:r w:rsidR="00E16EAB">
        <w:t>.</w:t>
      </w:r>
      <w:r>
        <w:t xml:space="preserve"> </w:t>
      </w:r>
    </w:p>
    <w:p w14:paraId="5584BE22" w14:textId="09A5DB7B" w:rsidR="00F932BE" w:rsidRDefault="00F932BE" w:rsidP="003F0A9D">
      <w:pPr>
        <w:pStyle w:val="List2"/>
      </w:pPr>
      <w:r w:rsidRPr="00F932BE">
        <w:t xml:space="preserve">The BSC Audit Approach document </w:t>
      </w:r>
      <w:r>
        <w:t xml:space="preserve">outlines </w:t>
      </w:r>
      <w:r w:rsidRPr="00F932BE">
        <w:t xml:space="preserve">the methodology to be </w:t>
      </w:r>
      <w:r>
        <w:t xml:space="preserve">used </w:t>
      </w:r>
      <w:r w:rsidRPr="00F932BE">
        <w:t xml:space="preserve">by the BSC Auditor. The planning phase encompasses initial risk assessments and entity selection as defined by Elexon. Entity engagement involves the dissemination of BSC Audit planning information and data requests ahead of each testing period. Fieldwork and data </w:t>
      </w:r>
      <w:r w:rsidR="004018D2" w:rsidRPr="00F932BE">
        <w:t>modelling</w:t>
      </w:r>
      <w:r w:rsidRPr="00F932BE">
        <w:t xml:space="preserve"> entail comprehensive testing, utili</w:t>
      </w:r>
      <w:r w:rsidR="004018D2">
        <w:t>s</w:t>
      </w:r>
      <w:r w:rsidRPr="00F932BE">
        <w:t xml:space="preserve">ation of data </w:t>
      </w:r>
      <w:r w:rsidR="004018D2" w:rsidRPr="00F932BE">
        <w:t>modelling</w:t>
      </w:r>
      <w:r w:rsidRPr="00F932BE">
        <w:t xml:space="preserve"> techniques, and moderation. The clearance meetings will incorporate observations made at the culmination of each BSC Audit and the subsequent reporting.</w:t>
      </w:r>
      <w:bookmarkEnd w:id="0"/>
    </w:p>
    <w:p w14:paraId="607EF4D1" w14:textId="77777777" w:rsidR="003F0A9D" w:rsidRDefault="003F0A9D" w:rsidP="003F0A9D">
      <w:pPr>
        <w:pStyle w:val="List"/>
      </w:pPr>
      <w:r>
        <w:t>Operational Approach</w:t>
      </w:r>
    </w:p>
    <w:p w14:paraId="0182E74C" w14:textId="2634691A" w:rsidR="00F932BE" w:rsidRPr="006D1C02" w:rsidRDefault="00F932BE" w:rsidP="003F0A9D">
      <w:pPr>
        <w:pStyle w:val="List2"/>
        <w:rPr>
          <w:color w:val="auto"/>
        </w:rPr>
      </w:pPr>
      <w:r w:rsidRPr="006D1C02">
        <w:rPr>
          <w:color w:val="auto"/>
        </w:rPr>
        <w:t xml:space="preserve">The BSC Audit Approach document </w:t>
      </w:r>
      <w:r w:rsidR="003F0A9D" w:rsidRPr="006D1C02">
        <w:rPr>
          <w:color w:val="auto"/>
        </w:rPr>
        <w:t xml:space="preserve">outlines </w:t>
      </w:r>
      <w:r w:rsidRPr="006D1C02">
        <w:rPr>
          <w:color w:val="auto"/>
        </w:rPr>
        <w:t xml:space="preserve">the methodology </w:t>
      </w:r>
      <w:r w:rsidR="003F0A9D" w:rsidRPr="006D1C02">
        <w:rPr>
          <w:color w:val="auto"/>
        </w:rPr>
        <w:t>to be used by the BSC Auditor. Within the operational approach</w:t>
      </w:r>
      <w:r w:rsidRPr="006D1C02">
        <w:rPr>
          <w:color w:val="auto"/>
        </w:rPr>
        <w:t xml:space="preserve">, the planning phase </w:t>
      </w:r>
      <w:r w:rsidR="003F0A9D" w:rsidRPr="006D1C02">
        <w:rPr>
          <w:color w:val="auto"/>
        </w:rPr>
        <w:t>will include an</w:t>
      </w:r>
      <w:r w:rsidRPr="006D1C02">
        <w:rPr>
          <w:color w:val="auto"/>
        </w:rPr>
        <w:t xml:space="preserve"> initial risk assessment and the selection o</w:t>
      </w:r>
      <w:r w:rsidR="003F0A9D" w:rsidRPr="006D1C02">
        <w:rPr>
          <w:color w:val="auto"/>
        </w:rPr>
        <w:t xml:space="preserve">f entities, as defined by Elexon. </w:t>
      </w:r>
      <w:r w:rsidRPr="006D1C02">
        <w:rPr>
          <w:color w:val="auto"/>
        </w:rPr>
        <w:t>Entity engagement is a</w:t>
      </w:r>
      <w:r w:rsidR="003F0A9D" w:rsidRPr="006D1C02">
        <w:rPr>
          <w:color w:val="auto"/>
        </w:rPr>
        <w:t>n</w:t>
      </w:r>
      <w:r w:rsidRPr="006D1C02">
        <w:rPr>
          <w:color w:val="auto"/>
        </w:rPr>
        <w:t xml:space="preserve"> </w:t>
      </w:r>
      <w:r w:rsidR="003F0A9D" w:rsidRPr="006D1C02">
        <w:rPr>
          <w:color w:val="auto"/>
        </w:rPr>
        <w:t xml:space="preserve">important </w:t>
      </w:r>
      <w:r w:rsidRPr="006D1C02">
        <w:rPr>
          <w:color w:val="auto"/>
        </w:rPr>
        <w:t xml:space="preserve">aspect of the process, involving the </w:t>
      </w:r>
      <w:r w:rsidR="006D1C02" w:rsidRPr="006D1C02">
        <w:rPr>
          <w:color w:val="auto"/>
        </w:rPr>
        <w:t xml:space="preserve">circulation </w:t>
      </w:r>
      <w:r w:rsidRPr="006D1C02">
        <w:rPr>
          <w:color w:val="auto"/>
        </w:rPr>
        <w:t>of BSC Audit planning information and the submission of data requests prior to each testing period. This ensures that all relevant parties are adequately informed and prepared f</w:t>
      </w:r>
      <w:r w:rsidR="003F0A9D" w:rsidRPr="006D1C02">
        <w:rPr>
          <w:color w:val="auto"/>
        </w:rPr>
        <w:t>or the forthcoming testing.</w:t>
      </w:r>
    </w:p>
    <w:p w14:paraId="15EFFB45" w14:textId="6FDA283D" w:rsidR="00F932BE" w:rsidRPr="006D1C02" w:rsidRDefault="00E16EAB" w:rsidP="003F0A9D">
      <w:pPr>
        <w:pStyle w:val="List2"/>
        <w:rPr>
          <w:color w:val="auto"/>
        </w:rPr>
      </w:pPr>
      <w:r>
        <w:rPr>
          <w:color w:val="auto"/>
        </w:rPr>
        <w:t>T</w:t>
      </w:r>
      <w:r w:rsidR="00F932BE" w:rsidRPr="006D1C02">
        <w:rPr>
          <w:color w:val="auto"/>
        </w:rPr>
        <w:t xml:space="preserve">he audit </w:t>
      </w:r>
      <w:r>
        <w:rPr>
          <w:color w:val="auto"/>
        </w:rPr>
        <w:t xml:space="preserve">then </w:t>
      </w:r>
      <w:r w:rsidR="00F932BE" w:rsidRPr="006D1C02">
        <w:rPr>
          <w:color w:val="auto"/>
        </w:rPr>
        <w:t xml:space="preserve">progresses into the fieldwork and data </w:t>
      </w:r>
      <w:r w:rsidR="006D1C02" w:rsidRPr="006D1C02">
        <w:rPr>
          <w:color w:val="auto"/>
        </w:rPr>
        <w:t>modelling phase</w:t>
      </w:r>
      <w:r>
        <w:rPr>
          <w:color w:val="auto"/>
        </w:rPr>
        <w:t>;</w:t>
      </w:r>
      <w:r w:rsidR="006D1C02" w:rsidRPr="006D1C02">
        <w:rPr>
          <w:color w:val="auto"/>
        </w:rPr>
        <w:t xml:space="preserve"> this entails thorough </w:t>
      </w:r>
      <w:r w:rsidR="00F932BE" w:rsidRPr="006D1C02">
        <w:rPr>
          <w:color w:val="auto"/>
        </w:rPr>
        <w:t>testing procedures, incorporating d</w:t>
      </w:r>
      <w:r w:rsidR="006D1C02" w:rsidRPr="006D1C02">
        <w:rPr>
          <w:color w:val="auto"/>
        </w:rPr>
        <w:t>ata modelling to test arithmetical accuracy in accordance to BSC procedures</w:t>
      </w:r>
      <w:r w:rsidR="00F932BE" w:rsidRPr="006D1C02">
        <w:rPr>
          <w:color w:val="auto"/>
        </w:rPr>
        <w:t xml:space="preserve">. Additionally, moderation </w:t>
      </w:r>
      <w:r w:rsidR="006D1C02" w:rsidRPr="006D1C02">
        <w:rPr>
          <w:color w:val="auto"/>
        </w:rPr>
        <w:t xml:space="preserve">sessions </w:t>
      </w:r>
      <w:r w:rsidR="00F932BE" w:rsidRPr="006D1C02">
        <w:rPr>
          <w:color w:val="auto"/>
        </w:rPr>
        <w:t xml:space="preserve">are </w:t>
      </w:r>
      <w:r w:rsidR="006D1C02" w:rsidRPr="006D1C02">
        <w:rPr>
          <w:color w:val="auto"/>
        </w:rPr>
        <w:t xml:space="preserve">set </w:t>
      </w:r>
      <w:r w:rsidR="00F932BE" w:rsidRPr="006D1C02">
        <w:rPr>
          <w:color w:val="auto"/>
        </w:rPr>
        <w:t>to maintain consistency and objectivity throughout the evaluation process.</w:t>
      </w:r>
    </w:p>
    <w:p w14:paraId="3287436F" w14:textId="0C5897BB" w:rsidR="00F932BE" w:rsidRPr="006D1C02" w:rsidRDefault="006D1C02" w:rsidP="00F932BE">
      <w:pPr>
        <w:pStyle w:val="List2"/>
        <w:rPr>
          <w:color w:val="auto"/>
        </w:rPr>
      </w:pPr>
      <w:r>
        <w:rPr>
          <w:color w:val="auto"/>
        </w:rPr>
        <w:lastRenderedPageBreak/>
        <w:t xml:space="preserve">Following the conclusion </w:t>
      </w:r>
      <w:r w:rsidR="00F932BE" w:rsidRPr="006D1C02">
        <w:rPr>
          <w:color w:val="auto"/>
        </w:rPr>
        <w:t xml:space="preserve">of each audit cycle </w:t>
      </w:r>
      <w:r w:rsidR="004018D2">
        <w:rPr>
          <w:color w:val="auto"/>
        </w:rPr>
        <w:t>a</w:t>
      </w:r>
      <w:r w:rsidR="00F932BE" w:rsidRPr="006D1C02">
        <w:rPr>
          <w:color w:val="auto"/>
        </w:rPr>
        <w:t xml:space="preserve"> clearance meeting</w:t>
      </w:r>
      <w:r w:rsidR="004018D2">
        <w:rPr>
          <w:color w:val="auto"/>
        </w:rPr>
        <w:t xml:space="preserve"> is held</w:t>
      </w:r>
      <w:r w:rsidR="00F932BE" w:rsidRPr="006D1C02">
        <w:rPr>
          <w:color w:val="auto"/>
        </w:rPr>
        <w:t xml:space="preserve">, where observations and findings from the audit are discussed. These meetings serve as a platform for stakeholders to review and address any identified issues, </w:t>
      </w:r>
      <w:r w:rsidRPr="006D1C02">
        <w:rPr>
          <w:color w:val="auto"/>
        </w:rPr>
        <w:t xml:space="preserve">ahead of the </w:t>
      </w:r>
      <w:r w:rsidR="00F932BE" w:rsidRPr="006D1C02">
        <w:rPr>
          <w:color w:val="auto"/>
        </w:rPr>
        <w:t xml:space="preserve">reporting and subsequent actions to </w:t>
      </w:r>
      <w:r w:rsidR="00540074">
        <w:rPr>
          <w:color w:val="auto"/>
        </w:rPr>
        <w:t>return to</w:t>
      </w:r>
      <w:r w:rsidR="00540074" w:rsidRPr="006D1C02">
        <w:rPr>
          <w:color w:val="auto"/>
        </w:rPr>
        <w:t xml:space="preserve"> </w:t>
      </w:r>
      <w:r w:rsidRPr="006D1C02">
        <w:rPr>
          <w:color w:val="auto"/>
        </w:rPr>
        <w:t xml:space="preserve">compliance </w:t>
      </w:r>
      <w:r w:rsidR="00540074">
        <w:rPr>
          <w:color w:val="auto"/>
        </w:rPr>
        <w:t>with</w:t>
      </w:r>
      <w:r w:rsidR="00540074" w:rsidRPr="006D1C02">
        <w:rPr>
          <w:color w:val="auto"/>
        </w:rPr>
        <w:t xml:space="preserve"> </w:t>
      </w:r>
      <w:r w:rsidRPr="006D1C02">
        <w:rPr>
          <w:color w:val="auto"/>
        </w:rPr>
        <w:t>the BSC</w:t>
      </w:r>
      <w:r w:rsidR="00F932BE" w:rsidRPr="006D1C02">
        <w:rPr>
          <w:color w:val="auto"/>
        </w:rPr>
        <w:t>.</w:t>
      </w:r>
    </w:p>
    <w:p w14:paraId="0A32D59A" w14:textId="77777777" w:rsidR="00B07EEC" w:rsidRDefault="00B07EEC" w:rsidP="00B07EEC">
      <w:pPr>
        <w:pStyle w:val="List"/>
      </w:pPr>
      <w:r>
        <w:t>Recommendations</w:t>
      </w:r>
    </w:p>
    <w:p w14:paraId="5B392FBA" w14:textId="77777777" w:rsidR="00B07EEC" w:rsidRDefault="00B07EEC" w:rsidP="00B07EEC">
      <w:pPr>
        <w:pStyle w:val="List2"/>
      </w:pPr>
      <w:r>
        <w:t>We invite the PAB to:</w:t>
      </w:r>
    </w:p>
    <w:p w14:paraId="3BE8CC4C" w14:textId="1B5962FA" w:rsidR="00B07EEC" w:rsidRPr="00881961" w:rsidRDefault="00B07EEC" w:rsidP="00B07EEC">
      <w:pPr>
        <w:pStyle w:val="List4"/>
      </w:pPr>
      <w:r w:rsidRPr="00AF66A8">
        <w:rPr>
          <w:b/>
        </w:rPr>
        <w:t>APPROVE</w:t>
      </w:r>
      <w:r>
        <w:t xml:space="preserve"> </w:t>
      </w:r>
      <w:r w:rsidRPr="00AB0992">
        <w:t xml:space="preserve">the BSC Audit </w:t>
      </w:r>
      <w:r>
        <w:t xml:space="preserve">Approach </w:t>
      </w:r>
      <w:r w:rsidRPr="00AB0992">
        <w:t>document for use in the 202</w:t>
      </w:r>
      <w:r>
        <w:t>4/25</w:t>
      </w:r>
      <w:r w:rsidRPr="00AB0992">
        <w:t xml:space="preserve"> Audit cycle</w:t>
      </w:r>
      <w:r w:rsidR="00D21ED3">
        <w:t>.</w:t>
      </w:r>
    </w:p>
    <w:p w14:paraId="6CF259F8" w14:textId="77777777" w:rsidR="00E92F8B" w:rsidRPr="00881961" w:rsidRDefault="00E92F8B" w:rsidP="00694395">
      <w:pPr>
        <w:pStyle w:val="Heading2"/>
      </w:pPr>
      <w:r w:rsidRPr="00881961">
        <w:t>Attachments</w:t>
      </w:r>
    </w:p>
    <w:p w14:paraId="2872818C" w14:textId="3DC187BF" w:rsidR="00E92F8B" w:rsidRDefault="00E92F8B" w:rsidP="00E92F8B">
      <w:pPr>
        <w:pStyle w:val="ElexonBody"/>
      </w:pPr>
      <w:r w:rsidRPr="00881961">
        <w:t xml:space="preserve">Attachment A – </w:t>
      </w:r>
      <w:r w:rsidR="00B07EEC">
        <w:t>BSC Audit Approach 2024/25</w:t>
      </w:r>
      <w:r w:rsidR="00F274F8">
        <w:t xml:space="preserve"> (</w:t>
      </w:r>
      <w:r w:rsidR="00540074">
        <w:t>Process Assessment</w:t>
      </w:r>
      <w:r w:rsidR="00F274F8">
        <w:t>)</w:t>
      </w:r>
    </w:p>
    <w:p w14:paraId="2F03537F" w14:textId="448187AC" w:rsidR="00F274F8" w:rsidRPr="00881961" w:rsidRDefault="00F274F8" w:rsidP="00E92F8B">
      <w:pPr>
        <w:pStyle w:val="ElexonBody"/>
      </w:pPr>
      <w:r>
        <w:t>Attachment B</w:t>
      </w:r>
      <w:r w:rsidRPr="00881961">
        <w:t xml:space="preserve"> – </w:t>
      </w:r>
      <w:r>
        <w:t>BSC Audit Approach 2024/25 (</w:t>
      </w:r>
      <w:r w:rsidR="00540074">
        <w:t>Assurance Opinion</w:t>
      </w:r>
      <w:r>
        <w:t>)</w:t>
      </w:r>
    </w:p>
    <w:p w14:paraId="4BE0947A" w14:textId="77777777" w:rsidR="00E92F8B" w:rsidRPr="00881961" w:rsidRDefault="00E92F8B" w:rsidP="00694395">
      <w:pPr>
        <w:pStyle w:val="Heading2"/>
      </w:pPr>
      <w:r w:rsidRPr="00881961">
        <w:t>For more information, please contact:</w:t>
      </w:r>
    </w:p>
    <w:p w14:paraId="01ACE424" w14:textId="77777777" w:rsidR="00B07EEC" w:rsidRPr="00881961" w:rsidRDefault="00B07EEC" w:rsidP="00B07EEC">
      <w:pPr>
        <w:pStyle w:val="ElexonBody"/>
      </w:pPr>
      <w:r>
        <w:t>Sukh Berk, Risk and Technique Analyst</w:t>
      </w:r>
    </w:p>
    <w:p w14:paraId="60B8E80E" w14:textId="77777777" w:rsidR="00B07EEC" w:rsidRPr="00881961" w:rsidRDefault="00B07EEC" w:rsidP="00B07EEC">
      <w:pPr>
        <w:pStyle w:val="ElexonBody"/>
      </w:pPr>
      <w:r>
        <w:t>Sukh.Berk</w:t>
      </w:r>
      <w:r w:rsidRPr="00881961">
        <w:t>@elexon.co.uk</w:t>
      </w:r>
    </w:p>
    <w:p w14:paraId="391C63EE" w14:textId="00393029" w:rsidR="00B07EEC" w:rsidRPr="00881961" w:rsidRDefault="00B07EEC" w:rsidP="00535B5A">
      <w:pPr>
        <w:pStyle w:val="ElexonBody"/>
      </w:pPr>
      <w:r w:rsidRPr="00881961">
        <w:t xml:space="preserve">020 7380 </w:t>
      </w:r>
      <w:r>
        <w:t>4068</w:t>
      </w:r>
      <w:bookmarkStart w:id="1" w:name="_GoBack"/>
      <w:bookmarkEnd w:id="1"/>
    </w:p>
    <w:sectPr w:rsidR="00B07EEC"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D84B5" w14:textId="77777777" w:rsidR="00B07EEC" w:rsidRDefault="00B07EEC" w:rsidP="007F1A2A">
      <w:pPr>
        <w:spacing w:after="0" w:line="240" w:lineRule="auto"/>
      </w:pPr>
      <w:r>
        <w:separator/>
      </w:r>
    </w:p>
  </w:endnote>
  <w:endnote w:type="continuationSeparator" w:id="0">
    <w:p w14:paraId="6046A233" w14:textId="77777777" w:rsidR="00B07EEC" w:rsidRDefault="00B07EEC"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B5211A7" w14:textId="3E0D9F2D"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54B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2</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4704B" w14:textId="154B6C5E"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7454B0">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454B0">
              <w:rPr>
                <w:noProof/>
              </w:rPr>
              <w:t>1</w:t>
            </w:r>
            <w:r w:rsidRPr="008345BA">
              <w:fldChar w:fldCharType="end"/>
            </w:r>
            <w:r w:rsidRPr="008345BA">
              <w:t xml:space="preserve"> of </w:t>
            </w:r>
            <w:r>
              <w:fldChar w:fldCharType="begin"/>
            </w:r>
            <w:r>
              <w:instrText xml:space="preserve"> NUMPAGES  </w:instrText>
            </w:r>
            <w:r>
              <w:fldChar w:fldCharType="separate"/>
            </w:r>
            <w:r w:rsidR="007454B0">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D9507" w14:textId="77777777" w:rsidR="00B07EEC" w:rsidRDefault="00B07EEC" w:rsidP="007F1A2A">
      <w:pPr>
        <w:spacing w:after="0" w:line="240" w:lineRule="auto"/>
      </w:pPr>
      <w:r>
        <w:separator/>
      </w:r>
    </w:p>
  </w:footnote>
  <w:footnote w:type="continuationSeparator" w:id="0">
    <w:p w14:paraId="79360D83" w14:textId="77777777" w:rsidR="00B07EEC" w:rsidRDefault="00B07EEC"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B3DD3" w14:textId="77777777" w:rsidR="008345BA" w:rsidRDefault="008345BA">
    <w:pPr>
      <w:pStyle w:val="Header"/>
      <w:rPr>
        <w:noProof/>
      </w:rPr>
    </w:pPr>
  </w:p>
  <w:p w14:paraId="204F9C2C" w14:textId="77777777" w:rsidR="008345BA" w:rsidRDefault="008345BA">
    <w:pPr>
      <w:pStyle w:val="Header"/>
      <w:rPr>
        <w:noProof/>
      </w:rPr>
    </w:pPr>
  </w:p>
  <w:p w14:paraId="292719A1" w14:textId="77777777" w:rsidR="008345BA" w:rsidRDefault="008345BA">
    <w:pPr>
      <w:pStyle w:val="Header"/>
      <w:rPr>
        <w:noProof/>
      </w:rPr>
    </w:pPr>
  </w:p>
  <w:p w14:paraId="5C0F0091"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3B532C9" wp14:editId="596A038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CF6AF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31699A7" wp14:editId="25117150">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B7A10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69594AA"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D3F51"/>
    <w:rsid w:val="001D58BD"/>
    <w:rsid w:val="001E4F3E"/>
    <w:rsid w:val="00207A51"/>
    <w:rsid w:val="002226BD"/>
    <w:rsid w:val="00274188"/>
    <w:rsid w:val="002E7B27"/>
    <w:rsid w:val="002F6C5F"/>
    <w:rsid w:val="003411EC"/>
    <w:rsid w:val="0036112A"/>
    <w:rsid w:val="00364845"/>
    <w:rsid w:val="003A7978"/>
    <w:rsid w:val="003F0A9D"/>
    <w:rsid w:val="004018D2"/>
    <w:rsid w:val="00491BC7"/>
    <w:rsid w:val="004E6056"/>
    <w:rsid w:val="004F575B"/>
    <w:rsid w:val="005020B1"/>
    <w:rsid w:val="00515618"/>
    <w:rsid w:val="005238ED"/>
    <w:rsid w:val="00531ADF"/>
    <w:rsid w:val="00535B5A"/>
    <w:rsid w:val="00540074"/>
    <w:rsid w:val="005A7D30"/>
    <w:rsid w:val="006247B2"/>
    <w:rsid w:val="00644A7C"/>
    <w:rsid w:val="00694395"/>
    <w:rsid w:val="006A7177"/>
    <w:rsid w:val="006D1C02"/>
    <w:rsid w:val="00710074"/>
    <w:rsid w:val="007351BE"/>
    <w:rsid w:val="007454B0"/>
    <w:rsid w:val="007B21B5"/>
    <w:rsid w:val="007B5C0C"/>
    <w:rsid w:val="007F1A2A"/>
    <w:rsid w:val="008025DA"/>
    <w:rsid w:val="008345BA"/>
    <w:rsid w:val="008375C3"/>
    <w:rsid w:val="00840543"/>
    <w:rsid w:val="008739C3"/>
    <w:rsid w:val="00881961"/>
    <w:rsid w:val="00886F8C"/>
    <w:rsid w:val="0089072E"/>
    <w:rsid w:val="008D72BD"/>
    <w:rsid w:val="00902111"/>
    <w:rsid w:val="00904932"/>
    <w:rsid w:val="009F28C7"/>
    <w:rsid w:val="00A10A25"/>
    <w:rsid w:val="00A16480"/>
    <w:rsid w:val="00A677F5"/>
    <w:rsid w:val="00AC33B2"/>
    <w:rsid w:val="00AD50AF"/>
    <w:rsid w:val="00B07EEC"/>
    <w:rsid w:val="00B152EF"/>
    <w:rsid w:val="00B4490F"/>
    <w:rsid w:val="00B63954"/>
    <w:rsid w:val="00BA06BC"/>
    <w:rsid w:val="00BE13D6"/>
    <w:rsid w:val="00CE2CB3"/>
    <w:rsid w:val="00D21ED3"/>
    <w:rsid w:val="00D22419"/>
    <w:rsid w:val="00D4187D"/>
    <w:rsid w:val="00D84153"/>
    <w:rsid w:val="00DD6E20"/>
    <w:rsid w:val="00DE29B7"/>
    <w:rsid w:val="00E16EAB"/>
    <w:rsid w:val="00E92F8B"/>
    <w:rsid w:val="00F14B16"/>
    <w:rsid w:val="00F274F8"/>
    <w:rsid w:val="00F346D7"/>
    <w:rsid w:val="00F932BE"/>
    <w:rsid w:val="00FB4637"/>
    <w:rsid w:val="00FE0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AE1A01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E16EAB"/>
    <w:rPr>
      <w:sz w:val="16"/>
      <w:szCs w:val="16"/>
    </w:rPr>
  </w:style>
  <w:style w:type="paragraph" w:styleId="CommentText">
    <w:name w:val="annotation text"/>
    <w:basedOn w:val="Normal"/>
    <w:link w:val="CommentTextChar"/>
    <w:uiPriority w:val="99"/>
    <w:semiHidden/>
    <w:unhideWhenUsed/>
    <w:rsid w:val="00E16EAB"/>
    <w:pPr>
      <w:spacing w:line="240" w:lineRule="auto"/>
    </w:pPr>
    <w:rPr>
      <w:szCs w:val="20"/>
    </w:rPr>
  </w:style>
  <w:style w:type="character" w:customStyle="1" w:styleId="CommentTextChar">
    <w:name w:val="Comment Text Char"/>
    <w:basedOn w:val="DefaultParagraphFont"/>
    <w:link w:val="CommentText"/>
    <w:uiPriority w:val="99"/>
    <w:semiHidden/>
    <w:rsid w:val="00E16EAB"/>
    <w:rPr>
      <w:sz w:val="20"/>
      <w:szCs w:val="20"/>
      <w:lang w:val="en-GB"/>
    </w:rPr>
  </w:style>
  <w:style w:type="paragraph" w:styleId="CommentSubject">
    <w:name w:val="annotation subject"/>
    <w:basedOn w:val="CommentText"/>
    <w:next w:val="CommentText"/>
    <w:link w:val="CommentSubjectChar"/>
    <w:uiPriority w:val="99"/>
    <w:semiHidden/>
    <w:unhideWhenUsed/>
    <w:rsid w:val="00E16EAB"/>
    <w:rPr>
      <w:b/>
      <w:bCs/>
    </w:rPr>
  </w:style>
  <w:style w:type="character" w:customStyle="1" w:styleId="CommentSubjectChar">
    <w:name w:val="Comment Subject Char"/>
    <w:basedOn w:val="CommentTextChar"/>
    <w:link w:val="CommentSubject"/>
    <w:uiPriority w:val="99"/>
    <w:semiHidden/>
    <w:rsid w:val="00E16EAB"/>
    <w:rPr>
      <w:b/>
      <w:bCs/>
      <w:sz w:val="20"/>
      <w:szCs w:val="20"/>
      <w:lang w:val="en-GB"/>
    </w:rPr>
  </w:style>
  <w:style w:type="paragraph" w:styleId="Revision">
    <w:name w:val="Revision"/>
    <w:hidden/>
    <w:uiPriority w:val="99"/>
    <w:semiHidden/>
    <w:rsid w:val="00E16EAB"/>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454C9C"/>
    <w:rsid w:val="006D617C"/>
    <w:rsid w:val="00737A75"/>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d8306e9-00d9-4f09-a81e-63c746db27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99BAC5F108424B89882F96407BAFE7" ma:contentTypeVersion="12" ma:contentTypeDescription="Create a new document." ma:contentTypeScope="" ma:versionID="5e3e6a7aede91391d7f4885dcdd63b0b">
  <xsd:schema xmlns:xsd="http://www.w3.org/2001/XMLSchema" xmlns:xs="http://www.w3.org/2001/XMLSchema" xmlns:p="http://schemas.microsoft.com/office/2006/metadata/properties" xmlns:ns3="ad8306e9-00d9-4f09-a81e-63c746db2732" xmlns:ns4="3a18762b-99de-485d-bc2f-9af893fabdf3" targetNamespace="http://schemas.microsoft.com/office/2006/metadata/properties" ma:root="true" ma:fieldsID="2cc4498e699636d019b68519fc89c58a" ns3:_="" ns4:_="">
    <xsd:import namespace="ad8306e9-00d9-4f09-a81e-63c746db2732"/>
    <xsd:import namespace="3a18762b-99de-485d-bc2f-9af893fabdf3"/>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8306e9-00d9-4f09-a81e-63c746db2732"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18762b-99de-485d-bc2f-9af893fabdf3"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486A7-CCDB-4430-817C-246EED23987E}">
  <ds:schemaRefs>
    <ds:schemaRef ds:uri="http://purl.org/dc/elements/1.1/"/>
    <ds:schemaRef ds:uri="http://schemas.microsoft.com/office/2006/metadata/properties"/>
    <ds:schemaRef ds:uri="3a18762b-99de-485d-bc2f-9af893fabdf3"/>
    <ds:schemaRef ds:uri="ad8306e9-00d9-4f09-a81e-63c746db2732"/>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7357EA-C582-4BB5-AD45-D8AC2709A8E5}">
  <ds:schemaRefs>
    <ds:schemaRef ds:uri="http://schemas.microsoft.com/sharepoint/v3/contenttype/forms"/>
  </ds:schemaRefs>
</ds:datastoreItem>
</file>

<file path=customXml/itemProps3.xml><?xml version="1.0" encoding="utf-8"?>
<ds:datastoreItem xmlns:ds="http://schemas.openxmlformats.org/officeDocument/2006/customXml" ds:itemID="{4F9A4F0B-1A26-432D-B63E-94929E92F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8306e9-00d9-4f09-a81e-63c746db2732"/>
    <ds:schemaRef ds:uri="3a18762b-99de-485d-bc2f-9af893fab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 Berk</dc:creator>
  <cp:keywords/>
  <dc:description/>
  <cp:lastModifiedBy>Sukh Berk</cp:lastModifiedBy>
  <cp:revision>2</cp:revision>
  <dcterms:created xsi:type="dcterms:W3CDTF">2024-05-22T11:44:00Z</dcterms:created>
  <dcterms:modified xsi:type="dcterms:W3CDTF">2024-05-22T11:44:00Z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0x010100F199BAC5F108424B89882F96407BAFE7</vt:lpwstr>
  </property>
</Properties>
</file>